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11" w:rsidRDefault="003C2711" w:rsidP="00823341"/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jc w:val="center"/>
        <w:rPr>
          <w:rFonts w:ascii="Lucida Sans Unicode" w:hAnsi="Lucida Sans Unicode" w:cs="Lucida Sans Unicode"/>
          <w:b/>
          <w:bCs/>
        </w:rPr>
      </w:pPr>
      <w:r w:rsidRPr="00973E29">
        <w:rPr>
          <w:rFonts w:ascii="Lucida Sans Unicode" w:hAnsi="Lucida Sans Unicode" w:cs="Lucida Sans Unicode"/>
          <w:b/>
          <w:bCs/>
        </w:rPr>
        <w:t>Promuovere e salvaguardare la cultura nelle Regioni Ultraperiferiche e nei Paesi e Territori d’Oltremare dell’UE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  <w:lang w:val="en-US"/>
        </w:rPr>
      </w:pPr>
      <w:proofErr w:type="spellStart"/>
      <w:r w:rsidRPr="00973E29">
        <w:rPr>
          <w:rFonts w:ascii="Trebuchet MS" w:hAnsi="Trebuchet MS"/>
          <w:lang w:val="en-US"/>
        </w:rPr>
        <w:t>Titolo</w:t>
      </w:r>
      <w:proofErr w:type="spellEnd"/>
    </w:p>
    <w:p w:rsidR="00426053" w:rsidRPr="00973E29" w:rsidRDefault="00426053" w:rsidP="00426053">
      <w:pPr>
        <w:shd w:val="clear" w:color="auto" w:fill="FFFFFF"/>
        <w:rPr>
          <w:rFonts w:ascii="Lucida Sans Unicode" w:hAnsi="Lucida Sans Unicode" w:cs="Lucida Sans Unicode"/>
          <w:sz w:val="24"/>
          <w:szCs w:val="24"/>
          <w:lang w:val="en-US"/>
        </w:rPr>
      </w:pPr>
      <w:r w:rsidRPr="00973E29">
        <w:rPr>
          <w:rFonts w:ascii="Lucida Sans Unicode" w:hAnsi="Lucida Sans Unicode" w:cs="Lucida Sans Unicode"/>
          <w:sz w:val="24"/>
          <w:szCs w:val="24"/>
          <w:lang w:val="en-US"/>
        </w:rPr>
        <w:t>Call for proposals 2020CE160AT032 - Pilot project for the safeguard and promotion of culture in the Outermost regions and the Overseas Countries and Territories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Fonte</w:t>
      </w:r>
    </w:p>
    <w:p w:rsidR="00426053" w:rsidRPr="00973E29" w:rsidRDefault="00426053" w:rsidP="00426053">
      <w:pPr>
        <w:shd w:val="clear" w:color="auto" w:fill="FFFFFF"/>
        <w:rPr>
          <w:rFonts w:ascii="Lucida Sans Unicode" w:hAnsi="Lucida Sans Unicode" w:cs="Lucida Sans Unicode"/>
          <w:sz w:val="24"/>
          <w:szCs w:val="24"/>
        </w:rPr>
      </w:pPr>
      <w:r w:rsidRPr="00973E29">
        <w:rPr>
          <w:rFonts w:ascii="Lucida Sans Unicode" w:hAnsi="Lucida Sans Unicode" w:cs="Lucida Sans Unicode"/>
          <w:sz w:val="24"/>
          <w:szCs w:val="24"/>
        </w:rPr>
        <w:t>Commissione europea - Sito Web Europa DG Regio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Note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La Commissione europea ha pubblicato un </w:t>
      </w:r>
      <w:r w:rsidRPr="00973E29">
        <w:rPr>
          <w:rStyle w:val="Enfasigrassetto"/>
          <w:rFonts w:ascii="Lucida Sans Unicode" w:hAnsi="Lucida Sans Unicode" w:cs="Lucida Sans Unicode"/>
        </w:rPr>
        <w:t>bando per un progetto pilota per promuovere e salvaguardare la cultura nelle Regioni Ultraperiferiche (RUP) e nei Paesi e Territori d’Oltremare dell’UE (PTOM).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Il bando punta ad integrare il programma "Europa Creativa", il principale strumento di finanziamento UE a sostegno del settore culturale e creativo, in quanto si è constatato che le RUP e i PTOM difficilmente hanno beneficiato delle opportunità di "Europa Creativa", probabilmente a causa della scarsa conoscenza del programma in questi territori e della limitata capacità di competere per accedere ai finanziamenti.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Con questo bando la Commissione intende quindi selezionare un solo progetto volto a </w:t>
      </w:r>
      <w:r w:rsidRPr="00973E29">
        <w:rPr>
          <w:rStyle w:val="Enfasigrassetto"/>
          <w:rFonts w:ascii="Lucida Sans Unicode" w:hAnsi="Lucida Sans Unicode" w:cs="Lucida Sans Unicode"/>
        </w:rPr>
        <w:t>testare un sistema valido ed efficiente per fornire sostegno finanziario ad artisti e a organizzazioni e istituzioni culturali</w:t>
      </w:r>
      <w:r w:rsidRPr="00973E29">
        <w:rPr>
          <w:rFonts w:ascii="Lucida Sans Unicode" w:hAnsi="Lucida Sans Unicode" w:cs="Lucida Sans Unicode"/>
        </w:rPr>
        <w:t>, con l’obiettivo di “salvaguardare, sostenere e promuovere la ricchezza culturale delle Regioni Ultraperiferiche e dei Paesi e Territori d’Oltremare”.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Il progetto dovrebbe pertanto contemplare il </w:t>
      </w:r>
      <w:r w:rsidRPr="00973E29">
        <w:rPr>
          <w:rStyle w:val="Enfasigrassetto"/>
          <w:rFonts w:ascii="Lucida Sans Unicode" w:hAnsi="Lucida Sans Unicode" w:cs="Lucida Sans Unicode"/>
        </w:rPr>
        <w:t>lancio e</w:t>
      </w:r>
      <w:r w:rsidRPr="00973E29">
        <w:rPr>
          <w:rFonts w:ascii="Lucida Sans Unicode" w:hAnsi="Lucida Sans Unicode" w:cs="Lucida Sans Unicode"/>
        </w:rPr>
        <w:t> la </w:t>
      </w:r>
      <w:r w:rsidRPr="00973E29">
        <w:rPr>
          <w:rStyle w:val="Enfasigrassetto"/>
          <w:rFonts w:ascii="Lucida Sans Unicode" w:hAnsi="Lucida Sans Unicode" w:cs="Lucida Sans Unicode"/>
        </w:rPr>
        <w:t>gestione di </w:t>
      </w:r>
      <w:r w:rsidRPr="00973E29">
        <w:rPr>
          <w:rStyle w:val="Enfasicorsivo"/>
          <w:rFonts w:ascii="Lucida Sans Unicode" w:hAnsi="Lucida Sans Unicode" w:cs="Lucida Sans Unicode"/>
          <w:b/>
          <w:bCs/>
        </w:rPr>
        <w:t>call for projects</w:t>
      </w:r>
      <w:r w:rsidRPr="00973E29">
        <w:rPr>
          <w:rFonts w:ascii="Lucida Sans Unicode" w:hAnsi="Lucida Sans Unicode" w:cs="Lucida Sans Unicode"/>
        </w:rPr>
        <w:t> volte a supportare almeno 45 progetti per massimo 20.000 € ciascuno, nonché </w:t>
      </w:r>
      <w:r w:rsidRPr="00973E29">
        <w:rPr>
          <w:rStyle w:val="Enfasigrassetto"/>
          <w:rFonts w:ascii="Lucida Sans Unicode" w:hAnsi="Lucida Sans Unicode" w:cs="Lucida Sans Unicode"/>
        </w:rPr>
        <w:t>fornire alla Commissione raccomandazioni</w:t>
      </w:r>
      <w:r w:rsidRPr="00973E29">
        <w:rPr>
          <w:rFonts w:ascii="Lucida Sans Unicode" w:hAnsi="Lucida Sans Unicode" w:cs="Lucida Sans Unicode"/>
        </w:rPr>
        <w:t> su come sostenere efficacemente la cultura nei territori interessati. In quest’ottica, il progetto dovrà essere orientato ai seguenti obiettivi specifici: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</w:rPr>
        <w:t>1</w:t>
      </w:r>
      <w:r w:rsidRPr="00973E29">
        <w:rPr>
          <w:rFonts w:ascii="Lucida Sans Unicode" w:hAnsi="Lucida Sans Unicode" w:cs="Lucida Sans Unicode"/>
        </w:rPr>
        <w:t>. Realizzazione di attività per</w:t>
      </w:r>
      <w:r w:rsidRPr="00973E29">
        <w:rPr>
          <w:rStyle w:val="Enfasigrassetto"/>
          <w:rFonts w:ascii="Lucida Sans Unicode" w:hAnsi="Lucida Sans Unicode" w:cs="Lucida Sans Unicode"/>
        </w:rPr>
        <w:t> salvaguardare</w:t>
      </w:r>
      <w:r w:rsidRPr="00973E29">
        <w:rPr>
          <w:rFonts w:ascii="Lucida Sans Unicode" w:hAnsi="Lucida Sans Unicode" w:cs="Lucida Sans Unicode"/>
        </w:rPr>
        <w:t>, </w:t>
      </w:r>
      <w:r w:rsidRPr="00973E29">
        <w:rPr>
          <w:rStyle w:val="Enfasigrassetto"/>
          <w:rFonts w:ascii="Lucida Sans Unicode" w:hAnsi="Lucida Sans Unicode" w:cs="Lucida Sans Unicode"/>
        </w:rPr>
        <w:t>sostenere e promuovere la</w:t>
      </w:r>
      <w:r w:rsidRPr="00973E29">
        <w:rPr>
          <w:rFonts w:ascii="Lucida Sans Unicode" w:hAnsi="Lucida Sans Unicode" w:cs="Lucida Sans Unicode"/>
        </w:rPr>
        <w:t> </w:t>
      </w:r>
      <w:r w:rsidRPr="00973E29">
        <w:rPr>
          <w:rStyle w:val="Enfasigrassetto"/>
          <w:rFonts w:ascii="Lucida Sans Unicode" w:hAnsi="Lucida Sans Unicode" w:cs="Lucida Sans Unicode"/>
        </w:rPr>
        <w:t>cultura locale e indigena</w:t>
      </w:r>
      <w:r w:rsidRPr="00973E29">
        <w:rPr>
          <w:rFonts w:ascii="Lucida Sans Unicode" w:hAnsi="Lucida Sans Unicode" w:cs="Lucida Sans Unicode"/>
        </w:rPr>
        <w:t>,</w:t>
      </w:r>
      <w:r w:rsidRPr="00973E29">
        <w:rPr>
          <w:rStyle w:val="Enfasigrassetto"/>
          <w:rFonts w:ascii="Lucida Sans Unicode" w:hAnsi="Lucida Sans Unicode" w:cs="Lucida Sans Unicode"/>
        </w:rPr>
        <w:t> le arti e le pratiche popolari</w:t>
      </w:r>
      <w:r w:rsidRPr="00973E29">
        <w:rPr>
          <w:rFonts w:ascii="Lucida Sans Unicode" w:hAnsi="Lucida Sans Unicode" w:cs="Lucida Sans Unicode"/>
        </w:rPr>
        <w:t>, </w:t>
      </w:r>
      <w:r w:rsidRPr="00973E29">
        <w:rPr>
          <w:rStyle w:val="Enfasigrassetto"/>
          <w:rFonts w:ascii="Lucida Sans Unicode" w:hAnsi="Lucida Sans Unicode" w:cs="Lucida Sans Unicode"/>
        </w:rPr>
        <w:t>la cultura ancestrale nelle RUP e nei PTOM</w:t>
      </w:r>
      <w:r w:rsidRPr="00973E29">
        <w:rPr>
          <w:rFonts w:ascii="Lucida Sans Unicode" w:hAnsi="Lucida Sans Unicode" w:cs="Lucida Sans Unicode"/>
        </w:rPr>
        <w:br/>
        <w:t>Lancio di </w:t>
      </w:r>
      <w:r w:rsidRPr="00973E29">
        <w:rPr>
          <w:rStyle w:val="Enfasicorsivo"/>
          <w:rFonts w:ascii="Lucida Sans Unicode" w:hAnsi="Lucida Sans Unicode" w:cs="Lucida Sans Unicode"/>
        </w:rPr>
        <w:t>call for projects</w:t>
      </w:r>
      <w:r w:rsidRPr="00973E29">
        <w:rPr>
          <w:rFonts w:ascii="Lucida Sans Unicode" w:hAnsi="Lucida Sans Unicode" w:cs="Lucida Sans Unicode"/>
        </w:rPr>
        <w:t xml:space="preserve"> per finanziare progetti di salvaguardia e promozione </w:t>
      </w:r>
      <w:r w:rsidRPr="00973E29">
        <w:rPr>
          <w:rFonts w:ascii="Lucida Sans Unicode" w:hAnsi="Lucida Sans Unicode" w:cs="Lucida Sans Unicode"/>
        </w:rPr>
        <w:lastRenderedPageBreak/>
        <w:t>della cultura indigena, delle arti e delle tradizioni popolari, contribuendo così a migliorare la conoscenza delle culture locali.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</w:rPr>
        <w:t>2.</w:t>
      </w:r>
      <w:r w:rsidRPr="00973E29">
        <w:rPr>
          <w:rFonts w:ascii="Lucida Sans Unicode" w:hAnsi="Lucida Sans Unicode" w:cs="Lucida Sans Unicode"/>
        </w:rPr>
        <w:t> Realizzazione di attività volte</w:t>
      </w:r>
      <w:r w:rsidRPr="00973E29">
        <w:rPr>
          <w:rStyle w:val="Enfasigrassetto"/>
          <w:rFonts w:ascii="Lucida Sans Unicode" w:hAnsi="Lucida Sans Unicode" w:cs="Lucida Sans Unicode"/>
        </w:rPr>
        <w:t> </w:t>
      </w:r>
      <w:r w:rsidRPr="00973E29">
        <w:rPr>
          <w:rFonts w:ascii="Lucida Sans Unicode" w:hAnsi="Lucida Sans Unicode" w:cs="Lucida Sans Unicode"/>
        </w:rPr>
        <w:t>a </w:t>
      </w:r>
      <w:r w:rsidRPr="00973E29">
        <w:rPr>
          <w:rStyle w:val="Enfasigrassetto"/>
          <w:rFonts w:ascii="Lucida Sans Unicode" w:hAnsi="Lucida Sans Unicode" w:cs="Lucida Sans Unicode"/>
        </w:rPr>
        <w:t>migliorare il dialogo e gli scambi culturali tra le RUP e i PTOM e in tutta l’Unione europea</w:t>
      </w:r>
      <w:r w:rsidRPr="00973E29">
        <w:rPr>
          <w:rFonts w:ascii="Lucida Sans Unicode" w:hAnsi="Lucida Sans Unicode" w:cs="Lucida Sans Unicode"/>
        </w:rPr>
        <w:br/>
        <w:t>Lancio di </w:t>
      </w:r>
      <w:r w:rsidRPr="00973E29">
        <w:rPr>
          <w:rStyle w:val="Enfasicorsivo"/>
          <w:rFonts w:ascii="Lucida Sans Unicode" w:hAnsi="Lucida Sans Unicode" w:cs="Lucida Sans Unicode"/>
        </w:rPr>
        <w:t>call for projects</w:t>
      </w:r>
      <w:r w:rsidRPr="00973E29">
        <w:rPr>
          <w:rFonts w:ascii="Lucida Sans Unicode" w:hAnsi="Lucida Sans Unicode" w:cs="Lucida Sans Unicode"/>
        </w:rPr>
        <w:t> per finanziare progetti di mobilità e di cooperazione per la promozione, la salvaguardia e il miglioramento della conoscenza delle culture locali delle RUP e dei PTOM.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</w:rPr>
        <w:t>3</w:t>
      </w:r>
      <w:r w:rsidRPr="00973E29">
        <w:rPr>
          <w:rFonts w:ascii="Lucida Sans Unicode" w:hAnsi="Lucida Sans Unicode" w:cs="Lucida Sans Unicode"/>
        </w:rPr>
        <w:t>. Realizzazione di attività per </w:t>
      </w:r>
      <w:r w:rsidRPr="00973E29">
        <w:rPr>
          <w:rStyle w:val="Enfasigrassetto"/>
          <w:rFonts w:ascii="Lucida Sans Unicode" w:hAnsi="Lucida Sans Unicode" w:cs="Lucida Sans Unicode"/>
        </w:rPr>
        <w:t>promuovere la</w:t>
      </w:r>
      <w:r w:rsidRPr="00973E29">
        <w:rPr>
          <w:rFonts w:ascii="Lucida Sans Unicode" w:hAnsi="Lucida Sans Unicode" w:cs="Lucida Sans Unicode"/>
        </w:rPr>
        <w:t> </w:t>
      </w:r>
      <w:r w:rsidRPr="00973E29">
        <w:rPr>
          <w:rStyle w:val="Enfasigrassetto"/>
          <w:rFonts w:ascii="Lucida Sans Unicode" w:hAnsi="Lucida Sans Unicode" w:cs="Lucida Sans Unicode"/>
        </w:rPr>
        <w:t>diffusione di opere culturali e creative</w:t>
      </w:r>
      <w:r w:rsidRPr="00973E29">
        <w:rPr>
          <w:rFonts w:ascii="Lucida Sans Unicode" w:hAnsi="Lucida Sans Unicode" w:cs="Lucida Sans Unicode"/>
        </w:rPr>
        <w:br/>
        <w:t>Lancio di </w:t>
      </w:r>
      <w:r w:rsidRPr="00973E29">
        <w:rPr>
          <w:rStyle w:val="Enfasicorsivo"/>
          <w:rFonts w:ascii="Lucida Sans Unicode" w:hAnsi="Lucida Sans Unicode" w:cs="Lucida Sans Unicode"/>
        </w:rPr>
        <w:t>call for projects</w:t>
      </w:r>
      <w:r w:rsidRPr="00973E29">
        <w:rPr>
          <w:rFonts w:ascii="Lucida Sans Unicode" w:hAnsi="Lucida Sans Unicode" w:cs="Lucida Sans Unicode"/>
        </w:rPr>
        <w:t> a sostegno dell’organizzazione di piccole mostre e/o spettacoli culturali volti a promuovere la cultura delle RUP e dei PTOM in tali territori e nell'Unione europea continentale.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</w:rPr>
        <w:t>4.</w:t>
      </w:r>
      <w:r w:rsidRPr="00973E29">
        <w:rPr>
          <w:rFonts w:ascii="Lucida Sans Unicode" w:hAnsi="Lucida Sans Unicode" w:cs="Lucida Sans Unicode"/>
        </w:rPr>
        <w:t> </w:t>
      </w:r>
      <w:r w:rsidRPr="00973E29">
        <w:rPr>
          <w:rStyle w:val="Enfasigrassetto"/>
          <w:rFonts w:ascii="Lucida Sans Unicode" w:hAnsi="Lucida Sans Unicode" w:cs="Lucida Sans Unicode"/>
        </w:rPr>
        <w:t>Analisi e raccomandazioni sulle opportunità di finanziamento </w:t>
      </w:r>
      <w:r w:rsidRPr="00973E29">
        <w:rPr>
          <w:rFonts w:ascii="Lucida Sans Unicode" w:hAnsi="Lucida Sans Unicode" w:cs="Lucida Sans Unicode"/>
        </w:rPr>
        <w:t>per la mobilità degli artisti e/o dei professionisti della cultura.</w:t>
      </w:r>
      <w:r w:rsidRPr="00973E29">
        <w:rPr>
          <w:rFonts w:ascii="Lucida Sans Unicode" w:hAnsi="Lucida Sans Unicode" w:cs="Lucida Sans Unicode"/>
        </w:rPr>
        <w:br/>
        <w:t>Sulla base dell’esperienza e degli insegnamenti tratti dall'attuazione del progetto, si dovranno fornire raccomandazioni alla Commissione europea su come sostenere ulteriormente la cultura nelle RUP e nei PTOM attraverso gli strumenti e i programmi UE esistenti.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</w:rPr>
        <w:t>Possono partecipare al bando</w:t>
      </w:r>
      <w:r w:rsidRPr="00973E29">
        <w:rPr>
          <w:rFonts w:ascii="Lucida Sans Unicode" w:hAnsi="Lucida Sans Unicode" w:cs="Lucida Sans Unicode"/>
        </w:rPr>
        <w:t> organizzazioni senza scopo di lucro, autorità pubbliche a livello nazionale, regionale e locale, università, istituti d’istruzione, centri di ricerca, organizzazioni internazionali stabiliti negli Stati UE, comprese le Regioni Ultraperiferiche, e nei Paesi e Territori d’Oltremare.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Il progetto proposto dovrà avere una durata di 24 mesi e potrà essere </w:t>
      </w:r>
      <w:r w:rsidRPr="00973E29">
        <w:rPr>
          <w:rStyle w:val="Enfasigrassetto"/>
          <w:rFonts w:ascii="Lucida Sans Unicode" w:hAnsi="Lucida Sans Unicode" w:cs="Lucida Sans Unicode"/>
        </w:rPr>
        <w:t>cofinanziato fino al 95% dei costi totali </w:t>
      </w:r>
      <w:r w:rsidRPr="00973E29">
        <w:rPr>
          <w:rFonts w:ascii="Lucida Sans Unicode" w:hAnsi="Lucida Sans Unicode" w:cs="Lucida Sans Unicode"/>
        </w:rPr>
        <w:t>ammissibili. La Commissione UE ha stanziato per questo bando </w:t>
      </w:r>
      <w:r w:rsidRPr="00973E29">
        <w:rPr>
          <w:rStyle w:val="Enfasigrassetto"/>
          <w:rFonts w:ascii="Lucida Sans Unicode" w:hAnsi="Lucida Sans Unicode" w:cs="Lucida Sans Unicode"/>
        </w:rPr>
        <w:t>1 milione di euro</w:t>
      </w:r>
      <w:r w:rsidRPr="00973E29">
        <w:rPr>
          <w:rFonts w:ascii="Lucida Sans Unicode" w:hAnsi="Lucida Sans Unicode" w:cs="Lucida Sans Unicode"/>
        </w:rPr>
        <w:t>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La scadenza per la presentazione delle candidature è il </w:t>
      </w:r>
      <w:r w:rsidRPr="00973E29">
        <w:rPr>
          <w:rStyle w:val="Enfasigrassetto"/>
          <w:rFonts w:ascii="Lucida Sans Unicode" w:hAnsi="Lucida Sans Unicode" w:cs="Lucida Sans Unicode"/>
        </w:rPr>
        <w:t>16 novembre 2020</w:t>
      </w:r>
      <w:r w:rsidRPr="00973E29">
        <w:rPr>
          <w:rFonts w:ascii="Lucida Sans Unicode" w:hAnsi="Lucida Sans Unicode" w:cs="Lucida Sans Unicode"/>
        </w:rPr>
        <w:t>.</w:t>
      </w:r>
    </w:p>
    <w:p w:rsidR="00426053" w:rsidRPr="00973E29" w:rsidRDefault="00426053" w:rsidP="00823341">
      <w:pPr>
        <w:rPr>
          <w:sz w:val="24"/>
          <w:szCs w:val="24"/>
        </w:rPr>
      </w:pP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jc w:val="center"/>
        <w:rPr>
          <w:rFonts w:ascii="Lucida Sans Unicode" w:hAnsi="Lucida Sans Unicode" w:cs="Lucida Sans Unicode"/>
          <w:b/>
          <w:bCs/>
          <w:lang w:val="en-US"/>
        </w:rPr>
      </w:pPr>
      <w:r w:rsidRPr="00973E29">
        <w:rPr>
          <w:rFonts w:ascii="Lucida Sans Unicode" w:hAnsi="Lucida Sans Unicode" w:cs="Lucida Sans Unicode"/>
          <w:b/>
          <w:bCs/>
          <w:lang w:val="en-US"/>
        </w:rPr>
        <w:t>EIDHR - Call globale 2020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  <w:lang w:val="en-US"/>
        </w:rPr>
      </w:pPr>
      <w:r w:rsidRPr="00973E29">
        <w:rPr>
          <w:rFonts w:ascii="Trebuchet MS" w:hAnsi="Trebuchet MS"/>
          <w:lang w:val="en-US"/>
        </w:rPr>
        <w:t>Titolo</w:t>
      </w:r>
    </w:p>
    <w:p w:rsidR="00426053" w:rsidRPr="00973E29" w:rsidRDefault="00426053" w:rsidP="00426053">
      <w:pPr>
        <w:shd w:val="clear" w:color="auto" w:fill="FFFFFF"/>
        <w:rPr>
          <w:rFonts w:ascii="Lucida Sans Unicode" w:hAnsi="Lucida Sans Unicode" w:cs="Lucida Sans Unicode"/>
          <w:sz w:val="24"/>
          <w:szCs w:val="24"/>
          <w:lang w:val="en-US"/>
        </w:rPr>
      </w:pPr>
      <w:r w:rsidRPr="00973E29">
        <w:rPr>
          <w:rFonts w:ascii="Lucida Sans Unicode" w:hAnsi="Lucida Sans Unicode" w:cs="Lucida Sans Unicode"/>
          <w:sz w:val="24"/>
          <w:szCs w:val="24"/>
          <w:lang w:val="en-US"/>
        </w:rPr>
        <w:t>EIDHR 2020 Global Call for Proposals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lastRenderedPageBreak/>
        <w:t>Oggetto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Call globale 2020 dello Strumento per la democrazia e i diritti umani–EIDHR, finalizzata a testare diversi modi in cui le iniziative guidate dalle OSC in prossimità dei paesi a rischio potrebbero contribuire a prevenire efficacemente la riduzione dello spazio democratico.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Fonte</w:t>
      </w:r>
    </w:p>
    <w:p w:rsidR="00426053" w:rsidRPr="00973E29" w:rsidRDefault="00426053" w:rsidP="00426053">
      <w:pPr>
        <w:shd w:val="clear" w:color="auto" w:fill="FFFFFF"/>
        <w:rPr>
          <w:rFonts w:ascii="Lucida Sans Unicode" w:hAnsi="Lucida Sans Unicode" w:cs="Lucida Sans Unicode"/>
          <w:sz w:val="24"/>
          <w:szCs w:val="24"/>
        </w:rPr>
      </w:pPr>
      <w:r w:rsidRPr="00973E29">
        <w:rPr>
          <w:rFonts w:ascii="Lucida Sans Unicode" w:hAnsi="Lucida Sans Unicode" w:cs="Lucida Sans Unicode"/>
          <w:sz w:val="24"/>
          <w:szCs w:val="24"/>
        </w:rPr>
        <w:t>Commissione europea EuropeAid/170197/DH/ACT/Multi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Ente Erogatore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Commissione europea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Obiettivo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Sostenere la società civile nella protezione e promozione dei diritti umani e delle libertà fondamentali in tutto il mondo.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Azioni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Guidare un </w:t>
      </w:r>
      <w:r w:rsidRPr="00973E29">
        <w:rPr>
          <w:rStyle w:val="Enfasigrassetto"/>
          <w:rFonts w:ascii="Lucida Sans Unicode" w:hAnsi="Lucida Sans Unicode" w:cs="Lucida Sans Unicode"/>
        </w:rPr>
        <w:t>hub di risorse multipaese</w:t>
      </w:r>
      <w:r w:rsidRPr="00973E29">
        <w:rPr>
          <w:rFonts w:ascii="Lucida Sans Unicode" w:hAnsi="Lucida Sans Unicode" w:cs="Lucida Sans Unicode"/>
        </w:rPr>
        <w:t>, incentrato sull'affrontare le dinamiche (restringimento, apertura) dello spazio civico, democratico e della società civile. L'hub dovrebbe supportare la società civile gli altri attori che lavorano sui diritti umani e la democrazia nel guidare il cambiamento verso un maggiore rispetto delle libertà fondamentali, l'impegno civico e la governance democratica e per stimolare un processo di sviluppo più efficace a livello nazionale.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La scelta della forma proposta per l’hub di risorse (piattaforma, centro, sistema o altro) compete ai richiedenti in base alla loro esperienza, valutazioni di necessità e fattibilità, innovazione e logica di intervento.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Il bando è articolato in quattro lotti geografici (una proposta progettuale può riguardare </w:t>
      </w:r>
      <w:r w:rsidRPr="00973E29">
        <w:rPr>
          <w:rStyle w:val="Enfasigrassetto"/>
          <w:rFonts w:ascii="Lucida Sans Unicode" w:hAnsi="Lucida Sans Unicode" w:cs="Lucida Sans Unicode"/>
        </w:rPr>
        <w:t>un solo lotto</w:t>
      </w:r>
      <w:r w:rsidRPr="00973E29">
        <w:rPr>
          <w:rFonts w:ascii="Lucida Sans Unicode" w:hAnsi="Lucida Sans Unicode" w:cs="Lucida Sans Unicode"/>
        </w:rPr>
        <w:t>).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Lotto 1 – </w:t>
      </w:r>
      <w:r w:rsidRPr="00973E29">
        <w:rPr>
          <w:rStyle w:val="Enfasigrassetto"/>
          <w:rFonts w:ascii="Lucida Sans Unicode" w:hAnsi="Lucida Sans Unicode" w:cs="Lucida Sans Unicode"/>
        </w:rPr>
        <w:t>Africa</w:t>
      </w:r>
      <w:r w:rsidRPr="00973E29">
        <w:rPr>
          <w:rFonts w:ascii="Lucida Sans Unicode" w:hAnsi="Lucida Sans Unicode" w:cs="Lucida Sans Unicode"/>
        </w:rPr>
        <w:br/>
        <w:t>Lotto 2 – </w:t>
      </w:r>
      <w:r w:rsidRPr="00973E29">
        <w:rPr>
          <w:rStyle w:val="Enfasigrassetto"/>
          <w:rFonts w:ascii="Lucida Sans Unicode" w:hAnsi="Lucida Sans Unicode" w:cs="Lucida Sans Unicode"/>
        </w:rPr>
        <w:t>Asia e Pacifico</w:t>
      </w:r>
      <w:r w:rsidRPr="00973E29">
        <w:rPr>
          <w:rFonts w:ascii="Lucida Sans Unicode" w:hAnsi="Lucida Sans Unicode" w:cs="Lucida Sans Unicode"/>
        </w:rPr>
        <w:br/>
        <w:t>Lotto 3 – </w:t>
      </w:r>
      <w:r w:rsidRPr="00973E29">
        <w:rPr>
          <w:rStyle w:val="Enfasigrassetto"/>
          <w:rFonts w:ascii="Lucida Sans Unicode" w:hAnsi="Lucida Sans Unicode" w:cs="Lucida Sans Unicode"/>
        </w:rPr>
        <w:t>America latina e Caraibi</w:t>
      </w:r>
      <w:r w:rsidRPr="00973E29">
        <w:rPr>
          <w:rFonts w:ascii="Lucida Sans Unicode" w:hAnsi="Lucida Sans Unicode" w:cs="Lucida Sans Unicode"/>
        </w:rPr>
        <w:br/>
        <w:t>Lotto 4 – </w:t>
      </w:r>
      <w:r w:rsidRPr="00973E29">
        <w:rPr>
          <w:rStyle w:val="Enfasigrassetto"/>
          <w:rFonts w:ascii="Lucida Sans Unicode" w:hAnsi="Lucida Sans Unicode" w:cs="Lucida Sans Unicode"/>
        </w:rPr>
        <w:t>Paesi dell’allargamento e della Politica di vicinato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  <w:i/>
          <w:iCs/>
        </w:rPr>
        <w:t>Priorità</w:t>
      </w:r>
      <w:r w:rsidRPr="00973E29">
        <w:rPr>
          <w:rFonts w:ascii="Lucida Sans Unicode" w:hAnsi="Lucida Sans Unicode" w:cs="Lucida Sans Unicode"/>
        </w:rPr>
        <w:br/>
        <w:t>- coinvolgere i driver a lungo e medio termine delle dinamiche dello spazio civico in base ai contesti specifici del paese;</w:t>
      </w:r>
      <w:r w:rsidRPr="00973E29">
        <w:rPr>
          <w:rFonts w:ascii="Lucida Sans Unicode" w:hAnsi="Lucida Sans Unicode" w:cs="Lucida Sans Unicode"/>
        </w:rPr>
        <w:br/>
        <w:t xml:space="preserve">- offrire programmi di capacity building, networking e scambio per i difensori dei diritti umani e la società civile (compresi se del caso altri stakeholder,) a livello </w:t>
      </w:r>
      <w:r w:rsidRPr="00973E29">
        <w:rPr>
          <w:rFonts w:ascii="Lucida Sans Unicode" w:hAnsi="Lucida Sans Unicode" w:cs="Lucida Sans Unicode"/>
        </w:rPr>
        <w:lastRenderedPageBreak/>
        <w:t>nazionale e/o con una dimensione multinazionale o regionale;</w:t>
      </w:r>
      <w:r w:rsidRPr="00973E29">
        <w:rPr>
          <w:rFonts w:ascii="Lucida Sans Unicode" w:hAnsi="Lucida Sans Unicode" w:cs="Lucida Sans Unicode"/>
        </w:rPr>
        <w:br/>
        <w:t>- lottare contro la criminalizzazione e la diffamazione degli attori civici e della società civile;</w:t>
      </w:r>
      <w:r w:rsidRPr="00973E29">
        <w:rPr>
          <w:rFonts w:ascii="Lucida Sans Unicode" w:hAnsi="Lucida Sans Unicode" w:cs="Lucida Sans Unicode"/>
        </w:rPr>
        <w:br/>
        <w:t>- sviluppare e guidare protocolli di risposta multi-stakeholder per un'azione tempestiva; mantenere contatti/reti con attori nazionali e internazionali per valutare opportunità di azioni significative; coordinare o mobilitare misure a diversi livelli;</w:t>
      </w:r>
      <w:r w:rsidRPr="00973E29">
        <w:rPr>
          <w:rFonts w:ascii="Lucida Sans Unicode" w:hAnsi="Lucida Sans Unicode" w:cs="Lucida Sans Unicode"/>
        </w:rPr>
        <w:br/>
        <w:t>-  fornire supporto diretto (servizi e/o assistenza finanziaria) in caso di cambiamenti improvvisi o segnali di cambiamento significativi;</w:t>
      </w:r>
      <w:r w:rsidRPr="00973E29">
        <w:rPr>
          <w:rFonts w:ascii="Lucida Sans Unicode" w:hAnsi="Lucida Sans Unicode" w:cs="Lucida Sans Unicode"/>
        </w:rPr>
        <w:br/>
        <w:t>- analizzare le tendenze e valutare le dinamiche dello spazio civico, democratico e della società civile.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</w:rPr>
        <w:t>Temi prioritari</w:t>
      </w:r>
      <w:r w:rsidRPr="00973E29">
        <w:rPr>
          <w:rFonts w:ascii="Lucida Sans Unicode" w:hAnsi="Lucida Sans Unicode" w:cs="Lucida Sans Unicode"/>
        </w:rPr>
        <w:br/>
        <w:t>• rispetto per la società civile e lo spazio civico nella legislazione nazionale e la sua applicazione nella pratica; se del caso, rivendicazione delle libertà perse o compromesse durante la pandemia COVID-19;</w:t>
      </w:r>
      <w:r w:rsidRPr="00973E29">
        <w:rPr>
          <w:rFonts w:ascii="Lucida Sans Unicode" w:hAnsi="Lucida Sans Unicode" w:cs="Lucida Sans Unicode"/>
        </w:rPr>
        <w:br/>
        <w:t>• elevare/ampliare la comprensione dello spazio civico come elemento fondamentale per raggiungere uno sviluppo sostenibile all'interno di un ambiente politico stabile; recuperare i danni alla reputazione degli attori civici e alla cittadinanza attiva; aumentare il profilo della riduzione dello spazio democratico come questione di interesse politico a livello nazionale, regionale e globale;</w:t>
      </w:r>
      <w:r w:rsidRPr="00973E29">
        <w:rPr>
          <w:rFonts w:ascii="Lucida Sans Unicode" w:hAnsi="Lucida Sans Unicode" w:cs="Lucida Sans Unicode"/>
        </w:rPr>
        <w:br/>
        <w:t>• Resilienza della società civile e degli attori civici alle nuove e moderne sfide, comprese la sicurezza digitale, la polarizzazione politica e le misure di emergenza legate all'antiterrorismo, alla salute pubblica e ad altre questioni (anche derivanti da COVID-19); diversificazione delle risorse finanziarie a disposizione degli attori civici e della società civile in situazioni di chiusura dello spazio civico; digitalizzazione dello spazio civico e fruizione online delle libertà fondamentali;</w:t>
      </w:r>
      <w:r w:rsidRPr="00973E29">
        <w:rPr>
          <w:rFonts w:ascii="Lucida Sans Unicode" w:hAnsi="Lucida Sans Unicode" w:cs="Lucida Sans Unicode"/>
        </w:rPr>
        <w:br/>
        <w:t>• Costruire ponti: incoraggiare la costruzione di coalizioni tra i settori della società civile (tra i settori diritti umani e sviluppo, servizi sociali), tra la società civile "tradizionale" e altre forme di movimenti civici e sociali, compresi i giovani attivisti, prestando attenzione all'eccezionale riduzione dello spazio correlata alla discriminazione nei confronti di determinati gruppi o attori, esacerbando l'emarginazione e la disuguaglianza.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  <w:i/>
          <w:iCs/>
        </w:rPr>
        <w:t>Attività ammissibili</w:t>
      </w:r>
      <w:r w:rsidRPr="00973E29">
        <w:rPr>
          <w:rStyle w:val="Enfasicorsivo"/>
          <w:rFonts w:ascii="Lucida Sans Unicode" w:hAnsi="Lucida Sans Unicode" w:cs="Lucida Sans Unicode"/>
        </w:rPr>
        <w:t> (elenco non esaustivo):</w:t>
      </w:r>
      <w:r w:rsidRPr="00973E29">
        <w:rPr>
          <w:rFonts w:ascii="Lucida Sans Unicode" w:hAnsi="Lucida Sans Unicode" w:cs="Lucida Sans Unicode"/>
        </w:rPr>
        <w:br/>
        <w:t xml:space="preserve">-  Analizzare, valutare e aggiornare le informazioni sullo spazio civico, democratico e della società civile nel paese, utilizzando o adattando la metodologia esistente, producendo report periodici e/o avvisi relativi a </w:t>
      </w:r>
      <w:r w:rsidRPr="00973E29">
        <w:rPr>
          <w:rFonts w:ascii="Lucida Sans Unicode" w:hAnsi="Lucida Sans Unicode" w:cs="Lucida Sans Unicode"/>
        </w:rPr>
        <w:lastRenderedPageBreak/>
        <w:t>cambiamenti o particolari aspetti problematici (geografici o tematici). Questo NON COMPRENDE lo sviluppo di nuovi strumenti di monitoraggio ma COMPRENDE il monitoraggio del rispetto delle libertà di associazione, riunione pacifica ed espressione in situazioni di emergenza online e offline, comprese le misure relative a COVID-19 e il ripristino delle libertà quando le misure di emergenza vengono revocate,</w:t>
      </w:r>
      <w:r w:rsidRPr="00973E29">
        <w:rPr>
          <w:rFonts w:ascii="Lucida Sans Unicode" w:hAnsi="Lucida Sans Unicode" w:cs="Lucida Sans Unicode"/>
        </w:rPr>
        <w:br/>
        <w:t>- Networking e scambio tra pari tra attori dello spazio civico,</w:t>
      </w:r>
      <w:r w:rsidRPr="00973E29">
        <w:rPr>
          <w:rFonts w:ascii="Lucida Sans Unicode" w:hAnsi="Lucida Sans Unicode" w:cs="Lucida Sans Unicode"/>
        </w:rPr>
        <w:br/>
        <w:t>- Costruzione di coalizioni intersezionali nel paese, nonché nelle regioni ed eventualmente a livello internazionale,</w:t>
      </w:r>
      <w:r w:rsidRPr="00973E29">
        <w:rPr>
          <w:rFonts w:ascii="Lucida Sans Unicode" w:hAnsi="Lucida Sans Unicode" w:cs="Lucida Sans Unicode"/>
        </w:rPr>
        <w:br/>
        <w:t>- Formazione, su temi relativi ai diritti umani e alla democrazia o altri, compresi: sviluppo organizzativo, leadership, standard internazionali sui diritti umani e legislazione nazionale, sicurezza e privacy, sicurezza digitale, protezione dei dati, tecnologia di sorveglianza; alfabetizzazione digitale, alfabetizzazione finanziaria,  comunicazione e campagne pubbliche, advocacy.</w:t>
      </w:r>
      <w:r w:rsidRPr="00973E29">
        <w:rPr>
          <w:rFonts w:ascii="Lucida Sans Unicode" w:hAnsi="Lucida Sans Unicode" w:cs="Lucida Sans Unicode"/>
        </w:rPr>
        <w:br/>
        <w:t>- Assistenza legalo, compresi: servizi di consulenza sui diritti (es. prima di assemblee pubbliche, in preparazione a possibili arresti, ecc.), servizi legali diretti; contenzioso strategico, advocacy nazionale e internazionale (compreso l'impatto negoziale delle misure legislative con i governi), supporto alla registrazione, statuti e altre formalità amministrative.</w:t>
      </w:r>
      <w:r w:rsidRPr="00973E29">
        <w:rPr>
          <w:rFonts w:ascii="Lucida Sans Unicode" w:hAnsi="Lucida Sans Unicode" w:cs="Lucida Sans Unicode"/>
        </w:rPr>
        <w:br/>
        <w:t>- Hotline o helpdesk per attori civici;</w:t>
      </w:r>
      <w:r w:rsidRPr="00973E29">
        <w:rPr>
          <w:rFonts w:ascii="Lucida Sans Unicode" w:hAnsi="Lucida Sans Unicode" w:cs="Lucida Sans Unicode"/>
        </w:rPr>
        <w:br/>
        <w:t>- Schemi di finanziamento (ad esempio micro-sovvenzioni) per la sperimentazione e l'apprendimento, compresi i finanziamenti per l'innovazione e la sperimentazione sull'impegno dei cittadini democratici e sulle pratiche di partecipazione;</w:t>
      </w:r>
      <w:r w:rsidRPr="00973E29">
        <w:rPr>
          <w:rFonts w:ascii="Lucida Sans Unicode" w:hAnsi="Lucida Sans Unicode" w:cs="Lucida Sans Unicode"/>
        </w:rPr>
        <w:br/>
        <w:t>- Piani di finanziamento di emergenza per il sostegno all'aumento e il backstopping in caso di repressione,;</w:t>
      </w:r>
      <w:r w:rsidRPr="00973E29">
        <w:rPr>
          <w:rFonts w:ascii="Lucida Sans Unicode" w:hAnsi="Lucida Sans Unicode" w:cs="Lucida Sans Unicode"/>
        </w:rPr>
        <w:br/>
        <w:t>- Supporto (compresi finanziamenti/erogazione di sovvenzioni/prestiti) a campagne pubbliche, petizioni, iniziative dei cittadini, deliberazioni pubbliche, iniziative di crowdfunding, ecc.</w:t>
      </w:r>
      <w:r w:rsidRPr="00973E29">
        <w:rPr>
          <w:rFonts w:ascii="Lucida Sans Unicode" w:hAnsi="Lucida Sans Unicode" w:cs="Lucida Sans Unicode"/>
        </w:rPr>
        <w:br/>
        <w:t>- Reclutamento e dispiegamento di squadre di risorse di emergenza;</w:t>
      </w:r>
      <w:r w:rsidRPr="00973E29">
        <w:rPr>
          <w:rFonts w:ascii="Lucida Sans Unicode" w:hAnsi="Lucida Sans Unicode" w:cs="Lucida Sans Unicode"/>
        </w:rPr>
        <w:br/>
        <w:t>- Capacity building o altro supporto alla leadership della comunità, comprese in particolare donne e giovani leader, appartenenti a gruppi di interesse, gruppi emarginati o comunità;</w:t>
      </w:r>
      <w:r w:rsidRPr="00973E29">
        <w:rPr>
          <w:rFonts w:ascii="Lucida Sans Unicode" w:hAnsi="Lucida Sans Unicode" w:cs="Lucida Sans Unicode"/>
        </w:rPr>
        <w:br/>
        <w:t>- Coordinamento e altre forme di cooperazione con rappresentanti della comunità internazionale e dei paesi terzi nei paesi target, comprese ambasciate, agenzie, media, imprese e altri attori politicamente influenti oltre agli altri stakeholder diversi dalla società civile;</w:t>
      </w:r>
      <w:r w:rsidRPr="00973E29">
        <w:rPr>
          <w:rFonts w:ascii="Lucida Sans Unicode" w:hAnsi="Lucida Sans Unicode" w:cs="Lucida Sans Unicode"/>
        </w:rPr>
        <w:br/>
      </w:r>
      <w:r w:rsidRPr="00973E29">
        <w:rPr>
          <w:rFonts w:ascii="Lucida Sans Unicode" w:hAnsi="Lucida Sans Unicode" w:cs="Lucida Sans Unicode"/>
        </w:rPr>
        <w:lastRenderedPageBreak/>
        <w:t>-  Campagne di comunicazione volte a riformulare narrazioni sull'attivismo, contrastare la disinformazione, promuovere il concetto di diritti umani e democrazia, ecc.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Le proposte di progetto, quale che sia il lotto scelto, devono essere ideate nel rispetto del “</w:t>
      </w:r>
      <w:r w:rsidRPr="00973E29">
        <w:rPr>
          <w:rStyle w:val="Enfasigrassetto"/>
          <w:rFonts w:ascii="Lucida Sans Unicode" w:hAnsi="Lucida Sans Unicode" w:cs="Lucida Sans Unicode"/>
        </w:rPr>
        <w:t>rights-based approach</w:t>
      </w:r>
      <w:r w:rsidRPr="00973E29">
        <w:rPr>
          <w:rFonts w:ascii="Lucida Sans Unicode" w:hAnsi="Lucida Sans Unicode" w:cs="Lucida Sans Unicode"/>
        </w:rPr>
        <w:t>” (</w:t>
      </w:r>
      <w:r w:rsidRPr="00973E29">
        <w:rPr>
          <w:rStyle w:val="Enfasigrassetto"/>
          <w:rFonts w:ascii="Lucida Sans Unicode" w:hAnsi="Lucida Sans Unicode" w:cs="Lucida Sans Unicode"/>
        </w:rPr>
        <w:t>RBA</w:t>
      </w:r>
      <w:r w:rsidRPr="00973E29">
        <w:rPr>
          <w:rFonts w:ascii="Lucida Sans Unicode" w:hAnsi="Lucida Sans Unicode" w:cs="Lucida Sans Unicode"/>
        </w:rPr>
        <w:t>), una metodologia di lavoro basata sui diritti umani riconosciuti a livello internazionale e tesa a promuovere e proteggere concretamente tali diritti.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Un progetto deve OBBLIGATORIAMENTE contenere la previsione di un sostegno finanziario a terzi (sub-granting) per alcune attività.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Beneficiari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Possono presentare una proposta progettuale gli enti dotati di personalità giuridica oppure privi di personalità giuridica, senza scopo di lucro che rientrano nella categoria di Organizzazioni della società civile (OSC).</w:t>
      </w:r>
      <w:r w:rsidRPr="00973E29">
        <w:rPr>
          <w:rFonts w:ascii="Lucida Sans Unicode" w:hAnsi="Lucida Sans Unicode" w:cs="Lucida Sans Unicode"/>
        </w:rPr>
        <w:br/>
        <w:t>Le organizzazioni internazionali non sono ammissibili per questo bando.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Entità Contributo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Il contributo per progetto può coprire fino al </w:t>
      </w:r>
      <w:r w:rsidRPr="00973E29">
        <w:rPr>
          <w:rStyle w:val="Enfasigrassetto"/>
          <w:rFonts w:ascii="Lucida Sans Unicode" w:hAnsi="Lucida Sans Unicode" w:cs="Lucida Sans Unicode"/>
        </w:rPr>
        <w:t>95%</w:t>
      </w:r>
      <w:r w:rsidRPr="00973E29">
        <w:rPr>
          <w:rFonts w:ascii="Lucida Sans Unicode" w:hAnsi="Lucida Sans Unicode" w:cs="Lucida Sans Unicode"/>
        </w:rPr>
        <w:t> dei costi ammissibili di progetto (minimo: 51%); per ogni lotto sarà approvato un progetto per un contributo massimo di 2,5 milioni di euro. Per progetti la cui realizzazione è ritenuta essenziale è possibile richiedere un contributo del 100% dei costi ammissibili di progetto (tale essenzialità deve essere adeguatamente provata).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Modalità e procedura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Individuato il lotto sul quale presentare la proposta progettuale, il progetto deve comprendere </w:t>
      </w:r>
      <w:r w:rsidRPr="00973E29">
        <w:rPr>
          <w:rStyle w:val="Enfasigrassetto"/>
          <w:rFonts w:ascii="Lucida Sans Unicode" w:hAnsi="Lucida Sans Unicode" w:cs="Lucida Sans Unicode"/>
        </w:rPr>
        <w:t>almeno un proponente e un partner locali</w:t>
      </w:r>
      <w:r w:rsidRPr="00973E29">
        <w:rPr>
          <w:rFonts w:ascii="Lucida Sans Unicode" w:hAnsi="Lucida Sans Unicode" w:cs="Lucida Sans Unicode"/>
        </w:rPr>
        <w:t>, cioè stabiliti nel paese nel quale si svolgono le attività (salvo situazioni nelle quali le organizzazioni locali non sono in grado di operare, che devono essere adeguatamente specificate e motivate). La partecipazione di un partner per ogni paese nel quale si realizza il progetto conferirà valore aggiunto alla partnership.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Per i</w:t>
      </w:r>
      <w:r w:rsidRPr="00973E29">
        <w:rPr>
          <w:rStyle w:val="Enfasigrassetto"/>
          <w:rFonts w:ascii="Lucida Sans Unicode" w:hAnsi="Lucida Sans Unicode" w:cs="Lucida Sans Unicode"/>
        </w:rPr>
        <w:t> lotti 1, 2 e 3</w:t>
      </w:r>
      <w:r w:rsidRPr="00973E29">
        <w:rPr>
          <w:rFonts w:ascii="Lucida Sans Unicode" w:hAnsi="Lucida Sans Unicode" w:cs="Lucida Sans Unicode"/>
        </w:rPr>
        <w:t> un progetto deve svolgersi in un </w:t>
      </w:r>
      <w:r w:rsidRPr="00973E29">
        <w:rPr>
          <w:rStyle w:val="Enfasigrassetto"/>
          <w:rFonts w:ascii="Lucida Sans Unicode" w:hAnsi="Lucida Sans Unicode" w:cs="Lucida Sans Unicode"/>
        </w:rPr>
        <w:t>minimo di 2 e un massimo di 5 paesi</w:t>
      </w:r>
      <w:r w:rsidRPr="00973E29">
        <w:rPr>
          <w:rFonts w:ascii="Lucida Sans Unicode" w:hAnsi="Lucida Sans Unicode" w:cs="Lucida Sans Unicode"/>
        </w:rPr>
        <w:t> dello stesso lotto; per il </w:t>
      </w:r>
      <w:r w:rsidRPr="00973E29">
        <w:rPr>
          <w:rStyle w:val="Enfasigrassetto"/>
          <w:rFonts w:ascii="Lucida Sans Unicode" w:hAnsi="Lucida Sans Unicode" w:cs="Lucida Sans Unicode"/>
        </w:rPr>
        <w:t>lotto 4</w:t>
      </w:r>
      <w:r w:rsidRPr="00973E29">
        <w:rPr>
          <w:rFonts w:ascii="Lucida Sans Unicode" w:hAnsi="Lucida Sans Unicode" w:cs="Lucida Sans Unicode"/>
        </w:rPr>
        <w:t> un progetto può svolgersi in un </w:t>
      </w:r>
      <w:r w:rsidRPr="00973E29">
        <w:rPr>
          <w:rStyle w:val="Enfasigrassetto"/>
          <w:rFonts w:ascii="Lucida Sans Unicode" w:hAnsi="Lucida Sans Unicode" w:cs="Lucida Sans Unicode"/>
        </w:rPr>
        <w:t>minimo di 2 e un massimo di 6 paesi </w:t>
      </w:r>
      <w:r w:rsidRPr="00973E29">
        <w:rPr>
          <w:rFonts w:ascii="Lucida Sans Unicode" w:hAnsi="Lucida Sans Unicode" w:cs="Lucida Sans Unicode"/>
        </w:rPr>
        <w:t>del lotto.</w:t>
      </w:r>
      <w:r w:rsidRPr="00973E29">
        <w:rPr>
          <w:rFonts w:ascii="Lucida Sans Unicode" w:hAnsi="Lucida Sans Unicode" w:cs="Lucida Sans Unicode"/>
        </w:rPr>
        <w:br/>
        <w:t>Uno stesso soggetto non può presentare come </w:t>
      </w:r>
      <w:r w:rsidRPr="00973E29">
        <w:rPr>
          <w:rStyle w:val="Enfasicorsivo"/>
          <w:rFonts w:ascii="Lucida Sans Unicode" w:hAnsi="Lucida Sans Unicode" w:cs="Lucida Sans Unicode"/>
        </w:rPr>
        <w:t>applicant</w:t>
      </w:r>
      <w:r w:rsidRPr="00973E29">
        <w:rPr>
          <w:rFonts w:ascii="Lucida Sans Unicode" w:hAnsi="Lucida Sans Unicode" w:cs="Lucida Sans Unicode"/>
        </w:rPr>
        <w:t> più di una proposta di progetto per uno stesso lotto (ma può essere partner in altre proposte progettuali)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lastRenderedPageBreak/>
        <w:t>Alcune limitate attività, come ad esempio un seminario o una conferenza, una mostra specifica o altro eventi simili, se motivato, possono svolgersi al di fuori dei paesi target del lotto, compresa l’UE.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I progetti devono avere una durata prevista compresa fra </w:t>
      </w:r>
      <w:r w:rsidRPr="00973E29">
        <w:rPr>
          <w:rStyle w:val="Enfasigrassetto"/>
          <w:rFonts w:ascii="Lucida Sans Unicode" w:hAnsi="Lucida Sans Unicode" w:cs="Lucida Sans Unicode"/>
        </w:rPr>
        <w:t>30 e 36 mesi</w:t>
      </w:r>
      <w:r w:rsidRPr="00973E29">
        <w:rPr>
          <w:rFonts w:ascii="Lucida Sans Unicode" w:hAnsi="Lucida Sans Unicode" w:cs="Lucida Sans Unicode"/>
        </w:rPr>
        <w:t> e devono essere scritti in inglese, francese o spagnolo.</w:t>
      </w:r>
      <w:r w:rsidRPr="00973E29">
        <w:rPr>
          <w:rFonts w:ascii="Lucida Sans Unicode" w:hAnsi="Lucida Sans Unicode" w:cs="Lucida Sans Unicode"/>
        </w:rPr>
        <w:br/>
      </w:r>
      <w:r w:rsidRPr="00973E29">
        <w:rPr>
          <w:rFonts w:ascii="Lucida Sans Unicode" w:hAnsi="Lucida Sans Unicode" w:cs="Lucida Sans Unicode"/>
        </w:rPr>
        <w:br/>
        <w:t>Il bando è qualificato come “</w:t>
      </w:r>
      <w:r w:rsidRPr="00973E29">
        <w:rPr>
          <w:rStyle w:val="Enfasigrassetto"/>
          <w:rFonts w:ascii="Lucida Sans Unicode" w:hAnsi="Lucida Sans Unicode" w:cs="Lucida Sans Unicode"/>
        </w:rPr>
        <w:t>ristretto</w:t>
      </w:r>
      <w:r w:rsidRPr="00973E29">
        <w:rPr>
          <w:rFonts w:ascii="Lucida Sans Unicode" w:hAnsi="Lucida Sans Unicode" w:cs="Lucida Sans Unicode"/>
        </w:rPr>
        <w:t>” e questo implica che la presentazione delle proposte di progetto avvenga in </w:t>
      </w:r>
      <w:r w:rsidRPr="00973E29">
        <w:rPr>
          <w:rStyle w:val="Enfasigrassetto"/>
          <w:rFonts w:ascii="Lucida Sans Unicode" w:hAnsi="Lucida Sans Unicode" w:cs="Lucida Sans Unicode"/>
        </w:rPr>
        <w:t>due fasi</w:t>
      </w:r>
      <w:r w:rsidRPr="00973E29">
        <w:rPr>
          <w:rFonts w:ascii="Lucida Sans Unicode" w:hAnsi="Lucida Sans Unicode" w:cs="Lucida Sans Unicode"/>
        </w:rPr>
        <w:t>: la prima consiste nell’invio delle proposte di progetto attraverso la compilazione del </w:t>
      </w:r>
      <w:r w:rsidRPr="00973E29">
        <w:rPr>
          <w:rStyle w:val="Enfasicorsivo"/>
          <w:rFonts w:ascii="Lucida Sans Unicode" w:hAnsi="Lucida Sans Unicode" w:cs="Lucida Sans Unicode"/>
          <w:b/>
          <w:bCs/>
        </w:rPr>
        <w:t>concept note</w:t>
      </w:r>
      <w:r w:rsidRPr="00973E29">
        <w:rPr>
          <w:rFonts w:ascii="Lucida Sans Unicode" w:hAnsi="Lucida Sans Unicode" w:cs="Lucida Sans Unicode"/>
        </w:rPr>
        <w:t>, un formulario meno dettagliato attraverso il quale presentare il progetto in modo sintetico; solo i progetti i cui concept note siano stati valutati positivamente saranno inseriti in una </w:t>
      </w:r>
      <w:r w:rsidRPr="00973E29">
        <w:rPr>
          <w:rStyle w:val="Enfasicorsivo"/>
          <w:rFonts w:ascii="Lucida Sans Unicode" w:hAnsi="Lucida Sans Unicode" w:cs="Lucida Sans Unicode"/>
        </w:rPr>
        <w:t>short list</w:t>
      </w:r>
      <w:r w:rsidRPr="00973E29">
        <w:rPr>
          <w:rFonts w:ascii="Lucida Sans Unicode" w:hAnsi="Lucida Sans Unicode" w:cs="Lucida Sans Unicode"/>
        </w:rPr>
        <w:t> e i loro proponenti saranno invitati a presentare le proposte complete di progetto. Le proposte complete devono essere CONFORMI CON QUELLE PRESENTATE ATTRAVERSO IL CONCEPT NOTE (ovvero: gli elementi presentati nel concept note non possono essere modificati nella proposta completa; in particolare il partenariato non può essere modificato, salvo situazioni di particolare criticità e in accordo con la Commissione).</w:t>
      </w:r>
      <w:r w:rsidRPr="00973E29">
        <w:rPr>
          <w:rFonts w:ascii="Lucida Sans Unicode" w:hAnsi="Lucida Sans Unicode" w:cs="Lucida Sans Unicode"/>
        </w:rPr>
        <w:br/>
      </w:r>
      <w:r w:rsidRPr="00973E29">
        <w:rPr>
          <w:rFonts w:ascii="Lucida Sans Unicode" w:hAnsi="Lucida Sans Unicode" w:cs="Lucida Sans Unicode"/>
        </w:rPr>
        <w:br/>
        <w:t>Sia il proponente sia eventuali partner devono essere registrati nel sistema </w:t>
      </w:r>
      <w:hyperlink r:id="rId7" w:tgtFrame="_new" w:history="1">
        <w:r w:rsidRPr="00973E29">
          <w:rPr>
            <w:rStyle w:val="Collegamentoipertestuale"/>
            <w:rFonts w:ascii="Lucida Sans Unicode" w:hAnsi="Lucida Sans Unicode" w:cs="Lucida Sans Unicode"/>
            <w:color w:val="auto"/>
            <w:u w:val="none"/>
          </w:rPr>
          <w:t>PADOR</w:t>
        </w:r>
      </w:hyperlink>
      <w:r w:rsidRPr="00973E29">
        <w:rPr>
          <w:rFonts w:ascii="Lucida Sans Unicode" w:hAnsi="Lucida Sans Unicode" w:cs="Lucida Sans Unicode"/>
        </w:rPr>
        <w:t>.</w:t>
      </w:r>
      <w:r w:rsidRPr="00973E29">
        <w:rPr>
          <w:rFonts w:ascii="Lucida Sans Unicode" w:hAnsi="Lucida Sans Unicode" w:cs="Lucida Sans Unicode"/>
        </w:rPr>
        <w:br/>
      </w:r>
      <w:r w:rsidRPr="00973E29">
        <w:rPr>
          <w:rFonts w:ascii="Lucida Sans Unicode" w:hAnsi="Lucida Sans Unicode" w:cs="Lucida Sans Unicode"/>
        </w:rPr>
        <w:br/>
        <w:t>La presentazione dei concept note deve essere fatta esclusivamente attraverso il sistema PROSPECT.</w:t>
      </w:r>
      <w:r w:rsidRPr="00973E29">
        <w:rPr>
          <w:rFonts w:ascii="Lucida Sans Unicode" w:hAnsi="Lucida Sans Unicode" w:cs="Lucida Sans Unicode"/>
        </w:rPr>
        <w:br/>
      </w:r>
      <w:r w:rsidRPr="00973E29">
        <w:rPr>
          <w:rFonts w:ascii="Lucida Sans Unicode" w:hAnsi="Lucida Sans Unicode" w:cs="Lucida Sans Unicode"/>
        </w:rPr>
        <w:br/>
      </w:r>
      <w:r w:rsidRPr="00973E29">
        <w:rPr>
          <w:rStyle w:val="Enfasicorsivo"/>
          <w:rFonts w:ascii="Lucida Sans Unicode" w:hAnsi="Lucida Sans Unicode" w:cs="Lucida Sans Unicode"/>
        </w:rPr>
        <w:t>La documentazione per la presentazione delle proposte progettuali è disponibile sulla pagina web del bando (vedi Indirizzi utili). Sulla stessa pagina è possibile scaricare le linee guida del bando, disponibili in inglese, francese o spagnolo.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Scadenza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</w:rPr>
        <w:t>20/11/2020 </w:t>
      </w:r>
      <w:r w:rsidRPr="00973E29">
        <w:rPr>
          <w:rFonts w:ascii="Lucida Sans Unicode" w:hAnsi="Lucida Sans Unicode" w:cs="Lucida Sans Unicode"/>
        </w:rPr>
        <w:t>(concept note)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Referente</w:t>
      </w:r>
    </w:p>
    <w:p w:rsidR="00426053" w:rsidRPr="00973E29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Fonts w:ascii="Lucida Sans Unicode" w:hAnsi="Lucida Sans Unicode" w:cs="Lucida Sans Unicode"/>
        </w:rPr>
        <w:t>Commissione europea – Cooperazione e sviluppo EuropeAid</w:t>
      </w:r>
    </w:p>
    <w:p w:rsidR="00426053" w:rsidRPr="00973E29" w:rsidRDefault="00426053" w:rsidP="00426053">
      <w:pPr>
        <w:pStyle w:val="Titolo3"/>
        <w:shd w:val="clear" w:color="auto" w:fill="EFEFEF"/>
        <w:spacing w:before="180" w:after="60"/>
        <w:rPr>
          <w:rFonts w:ascii="Trebuchet MS" w:hAnsi="Trebuchet MS"/>
        </w:rPr>
      </w:pPr>
      <w:r w:rsidRPr="00973E29">
        <w:rPr>
          <w:rFonts w:ascii="Trebuchet MS" w:hAnsi="Trebuchet MS"/>
        </w:rPr>
        <w:t>Risorse finanziarie disponibili</w:t>
      </w:r>
    </w:p>
    <w:p w:rsidR="00426053" w:rsidRDefault="00426053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  <w:r w:rsidRPr="00973E29">
        <w:rPr>
          <w:rStyle w:val="Enfasigrassetto"/>
          <w:rFonts w:ascii="Lucida Sans Unicode" w:hAnsi="Lucida Sans Unicode" w:cs="Lucida Sans Unicode"/>
        </w:rPr>
        <w:t>10.000.000 euro</w:t>
      </w:r>
      <w:r w:rsidRPr="00973E29">
        <w:rPr>
          <w:rFonts w:ascii="Lucida Sans Unicode" w:hAnsi="Lucida Sans Unicode" w:cs="Lucida Sans Unicode"/>
        </w:rPr>
        <w:t>, equamente distribuiti fra i quattro lotti geografici (2,5 milioni per ogni lotto).</w:t>
      </w:r>
    </w:p>
    <w:p w:rsidR="00973E29" w:rsidRDefault="00973E29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</w:p>
    <w:p w:rsidR="00973E29" w:rsidRPr="00973E29" w:rsidRDefault="00973E29" w:rsidP="00426053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Lucida Sans Unicode" w:hAnsi="Lucida Sans Unicode" w:cs="Lucida Sans Unicode"/>
        </w:rPr>
      </w:pPr>
    </w:p>
    <w:p w:rsidR="00823341" w:rsidRPr="00973E29" w:rsidRDefault="00823341" w:rsidP="00823341">
      <w:pPr>
        <w:rPr>
          <w:sz w:val="24"/>
          <w:szCs w:val="24"/>
        </w:rPr>
      </w:pPr>
    </w:p>
    <w:sectPr w:rsidR="00823341" w:rsidRPr="00973E29" w:rsidSect="00823341">
      <w:headerReference w:type="default" r:id="rId8"/>
      <w:footerReference w:type="default" r:id="rId9"/>
      <w:pgSz w:w="11906" w:h="16838"/>
      <w:pgMar w:top="1417" w:right="1134" w:bottom="1134" w:left="1134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58" w:rsidRDefault="00AD7258" w:rsidP="00BC1BDA">
      <w:pPr>
        <w:spacing w:after="0" w:line="240" w:lineRule="auto"/>
      </w:pPr>
      <w:r>
        <w:separator/>
      </w:r>
    </w:p>
  </w:endnote>
  <w:endnote w:type="continuationSeparator" w:id="0">
    <w:p w:rsidR="00AD7258" w:rsidRDefault="00AD7258" w:rsidP="00BC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41" w:rsidRPr="00823341" w:rsidRDefault="00823341" w:rsidP="00D84FE5">
    <w:pPr>
      <w:pStyle w:val="xmsonormal"/>
      <w:spacing w:before="0" w:beforeAutospacing="0" w:after="0" w:afterAutospacing="0"/>
      <w:jc w:val="center"/>
      <w:rPr>
        <w:rFonts w:ascii="Helvetica" w:hAnsi="Helvetica" w:cstheme="minorHAnsi"/>
        <w:b/>
        <w:bCs/>
        <w:sz w:val="22"/>
        <w:szCs w:val="22"/>
      </w:rPr>
    </w:pPr>
    <w:r w:rsidRPr="00823341">
      <w:rPr>
        <w:rFonts w:ascii="Helvetica" w:hAnsi="Helvetica" w:cstheme="minorHAnsi"/>
        <w:b/>
        <w:bCs/>
        <w:sz w:val="22"/>
        <w:szCs w:val="22"/>
      </w:rPr>
      <w:t>PAT</w:t>
    </w:r>
  </w:p>
  <w:p w:rsidR="00823341" w:rsidRPr="00370961" w:rsidRDefault="00823341" w:rsidP="00D84FE5">
    <w:pPr>
      <w:pStyle w:val="xmsonormal"/>
      <w:spacing w:before="0" w:beforeAutospacing="0" w:after="0" w:afterAutospacing="0"/>
      <w:jc w:val="center"/>
      <w:rPr>
        <w:rFonts w:ascii="Helvetica" w:hAnsi="Helvetica" w:cstheme="minorHAnsi"/>
        <w:sz w:val="20"/>
        <w:szCs w:val="20"/>
      </w:rPr>
    </w:pPr>
    <w:r w:rsidRPr="00370961">
      <w:rPr>
        <w:rFonts w:ascii="Helvetica" w:hAnsi="Helvetica" w:cstheme="minorHAnsi"/>
        <w:bCs/>
        <w:sz w:val="20"/>
        <w:szCs w:val="20"/>
      </w:rPr>
      <w:t>Sede legale ed amministrativa</w:t>
    </w:r>
    <w:r w:rsidRPr="00370961">
      <w:rPr>
        <w:rFonts w:ascii="Helvetica" w:hAnsi="Helvetica" w:cstheme="minorHAnsi"/>
        <w:sz w:val="20"/>
        <w:szCs w:val="20"/>
      </w:rPr>
      <w:t xml:space="preserve">: </w:t>
    </w:r>
    <w:r w:rsidRPr="00370961">
      <w:rPr>
        <w:rFonts w:ascii="Helvetica" w:hAnsi="Helvetica" w:cstheme="minorHAnsi"/>
        <w:bCs/>
        <w:sz w:val="20"/>
        <w:szCs w:val="20"/>
      </w:rPr>
      <w:t xml:space="preserve">Cecina (Livorno) </w:t>
    </w:r>
    <w:r w:rsidR="002C6EC1" w:rsidRPr="00370961">
      <w:rPr>
        <w:rFonts w:ascii="Helvetica" w:hAnsi="Helvetica" w:cstheme="minorHAnsi"/>
        <w:bCs/>
        <w:sz w:val="20"/>
        <w:szCs w:val="20"/>
      </w:rPr>
      <w:t xml:space="preserve">- </w:t>
    </w:r>
    <w:r w:rsidRPr="00370961">
      <w:rPr>
        <w:rFonts w:ascii="Helvetica" w:hAnsi="Helvetica" w:cstheme="minorHAnsi"/>
        <w:bCs/>
        <w:sz w:val="20"/>
        <w:szCs w:val="20"/>
      </w:rPr>
      <w:t>Corso Matteotti, 23</w:t>
    </w:r>
  </w:p>
  <w:p w:rsidR="00823341" w:rsidRPr="003C2711" w:rsidRDefault="00823341" w:rsidP="00D84FE5">
    <w:pPr>
      <w:pStyle w:val="xmsonormal"/>
      <w:spacing w:before="0" w:beforeAutospacing="0" w:after="0" w:afterAutospacing="0"/>
      <w:jc w:val="center"/>
      <w:rPr>
        <w:rFonts w:ascii="Helvetica" w:hAnsi="Helvetica" w:cstheme="minorHAnsi"/>
        <w:sz w:val="20"/>
        <w:szCs w:val="20"/>
        <w:lang w:val="en-US"/>
      </w:rPr>
    </w:pPr>
    <w:r w:rsidRPr="003C2711">
      <w:rPr>
        <w:rFonts w:ascii="Helvetica" w:hAnsi="Helvetica" w:cstheme="minorHAnsi"/>
        <w:bCs/>
        <w:sz w:val="20"/>
        <w:szCs w:val="20"/>
        <w:lang w:val="en-US"/>
      </w:rPr>
      <w:t>C.F.</w:t>
    </w:r>
    <w:r w:rsidRPr="003C2711">
      <w:rPr>
        <w:rFonts w:ascii="Helvetica" w:hAnsi="Helvetica" w:cstheme="minorHAnsi"/>
        <w:sz w:val="20"/>
        <w:szCs w:val="20"/>
        <w:lang w:val="en-US"/>
      </w:rPr>
      <w:t xml:space="preserve"> </w:t>
    </w:r>
    <w:r w:rsidRPr="003C2711">
      <w:rPr>
        <w:rFonts w:ascii="Helvetica" w:hAnsi="Helvetica" w:cstheme="minorHAnsi"/>
        <w:bCs/>
        <w:sz w:val="20"/>
        <w:szCs w:val="20"/>
        <w:lang w:val="en-US"/>
      </w:rPr>
      <w:t>92135010491</w:t>
    </w:r>
  </w:p>
  <w:p w:rsidR="00823341" w:rsidRPr="003C2711" w:rsidRDefault="00D87881" w:rsidP="00D84FE5">
    <w:pPr>
      <w:pStyle w:val="xmsonormal"/>
      <w:spacing w:before="0" w:beforeAutospacing="0" w:after="0" w:afterAutospacing="0"/>
      <w:jc w:val="center"/>
      <w:rPr>
        <w:rFonts w:ascii="Helvetica" w:hAnsi="Helvetica" w:cstheme="minorHAnsi"/>
        <w:sz w:val="20"/>
        <w:szCs w:val="20"/>
        <w:lang w:val="en-US"/>
      </w:rPr>
    </w:pPr>
    <w:hyperlink r:id="rId1" w:tgtFrame="_blank" w:history="1">
      <w:r w:rsidR="00823341" w:rsidRPr="003C2711">
        <w:rPr>
          <w:rStyle w:val="Collegamentoipertestuale"/>
          <w:rFonts w:ascii="Helvetica" w:hAnsi="Helvetica" w:cstheme="minorHAnsi"/>
          <w:bCs/>
          <w:sz w:val="20"/>
          <w:szCs w:val="20"/>
          <w:lang w:val="en-US"/>
        </w:rPr>
        <w:t>e-mail:progettazione.pat@gmail.com</w:t>
      </w:r>
    </w:hyperlink>
  </w:p>
  <w:p w:rsidR="00823341" w:rsidRPr="003C2711" w:rsidRDefault="00823341" w:rsidP="00823341">
    <w:pPr>
      <w:pStyle w:val="Pidipagina"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58" w:rsidRDefault="00AD7258" w:rsidP="00BC1BDA">
      <w:pPr>
        <w:spacing w:after="0" w:line="240" w:lineRule="auto"/>
      </w:pPr>
      <w:r>
        <w:separator/>
      </w:r>
    </w:p>
  </w:footnote>
  <w:footnote w:type="continuationSeparator" w:id="0">
    <w:p w:rsidR="00AD7258" w:rsidRDefault="00AD7258" w:rsidP="00BC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DA" w:rsidRDefault="00F736D6" w:rsidP="00D84FE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429200" cy="702000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7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1C90355"/>
    <w:multiLevelType w:val="hybridMultilevel"/>
    <w:tmpl w:val="47C60202"/>
    <w:lvl w:ilvl="0" w:tplc="A3546C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0103E"/>
    <w:multiLevelType w:val="hybridMultilevel"/>
    <w:tmpl w:val="C57229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6560EE"/>
    <w:multiLevelType w:val="hybridMultilevel"/>
    <w:tmpl w:val="C7467EF0"/>
    <w:lvl w:ilvl="0" w:tplc="75EC531E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6">
    <w:nsid w:val="60FF6876"/>
    <w:multiLevelType w:val="hybridMultilevel"/>
    <w:tmpl w:val="0C929B7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F10DA"/>
    <w:multiLevelType w:val="hybridMultilevel"/>
    <w:tmpl w:val="60BC9DF4"/>
    <w:lvl w:ilvl="0" w:tplc="E2CC628E">
      <w:numFmt w:val="bullet"/>
      <w:lvlText w:val=""/>
      <w:lvlJc w:val="left"/>
      <w:pPr>
        <w:ind w:left="720" w:hanging="360"/>
      </w:pPr>
      <w:rPr>
        <w:rFonts w:ascii="Symbol" w:eastAsia="BatangChe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F1F34"/>
    <w:multiLevelType w:val="multilevel"/>
    <w:tmpl w:val="725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C1BDA"/>
    <w:rsid w:val="00027289"/>
    <w:rsid w:val="001A469F"/>
    <w:rsid w:val="001F71A2"/>
    <w:rsid w:val="002B4192"/>
    <w:rsid w:val="002C4E3C"/>
    <w:rsid w:val="002C6EC1"/>
    <w:rsid w:val="00370961"/>
    <w:rsid w:val="003C2711"/>
    <w:rsid w:val="00426053"/>
    <w:rsid w:val="004361E1"/>
    <w:rsid w:val="0047420C"/>
    <w:rsid w:val="00491CC3"/>
    <w:rsid w:val="004B32AE"/>
    <w:rsid w:val="004C1F9B"/>
    <w:rsid w:val="004C27E7"/>
    <w:rsid w:val="004F1FA8"/>
    <w:rsid w:val="00542B5D"/>
    <w:rsid w:val="00543D67"/>
    <w:rsid w:val="00566D51"/>
    <w:rsid w:val="006B7AA8"/>
    <w:rsid w:val="006F13FC"/>
    <w:rsid w:val="007E4A24"/>
    <w:rsid w:val="00823341"/>
    <w:rsid w:val="00876D1C"/>
    <w:rsid w:val="008F3B14"/>
    <w:rsid w:val="00973E29"/>
    <w:rsid w:val="009911F9"/>
    <w:rsid w:val="009B2F60"/>
    <w:rsid w:val="009F75B6"/>
    <w:rsid w:val="00A45D05"/>
    <w:rsid w:val="00A56AB5"/>
    <w:rsid w:val="00AB3127"/>
    <w:rsid w:val="00AD7258"/>
    <w:rsid w:val="00B13A1B"/>
    <w:rsid w:val="00B61AFD"/>
    <w:rsid w:val="00BC1BDA"/>
    <w:rsid w:val="00BC3439"/>
    <w:rsid w:val="00D01CB6"/>
    <w:rsid w:val="00D043C0"/>
    <w:rsid w:val="00D11698"/>
    <w:rsid w:val="00D34B7E"/>
    <w:rsid w:val="00D509C9"/>
    <w:rsid w:val="00D84FE5"/>
    <w:rsid w:val="00D87881"/>
    <w:rsid w:val="00D90784"/>
    <w:rsid w:val="00D97515"/>
    <w:rsid w:val="00E679CC"/>
    <w:rsid w:val="00E70839"/>
    <w:rsid w:val="00E97D4A"/>
    <w:rsid w:val="00ED16F9"/>
    <w:rsid w:val="00F736D6"/>
    <w:rsid w:val="00FA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FA8"/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D509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BDA"/>
  </w:style>
  <w:style w:type="paragraph" w:styleId="Pidipagina">
    <w:name w:val="footer"/>
    <w:basedOn w:val="Normale"/>
    <w:link w:val="PidipaginaCarattere"/>
    <w:uiPriority w:val="99"/>
    <w:unhideWhenUsed/>
    <w:rsid w:val="00BC1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BDA"/>
  </w:style>
  <w:style w:type="paragraph" w:customStyle="1" w:styleId="xmsonormal">
    <w:name w:val="x_msonormal"/>
    <w:basedOn w:val="Normale"/>
    <w:rsid w:val="0082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233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2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7D4A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E9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9"/>
    <w:rsid w:val="00D509C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D509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509C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tario">
    <w:name w:val="intestatario"/>
    <w:basedOn w:val="Carpredefinitoparagrafo"/>
    <w:rsid w:val="00D509C9"/>
  </w:style>
  <w:style w:type="character" w:styleId="Enfasigrassetto">
    <w:name w:val="Strong"/>
    <w:basedOn w:val="Carpredefinitoparagrafo"/>
    <w:uiPriority w:val="22"/>
    <w:qFormat/>
    <w:rsid w:val="00D509C9"/>
    <w:rPr>
      <w:b/>
      <w:bCs/>
    </w:rPr>
  </w:style>
  <w:style w:type="paragraph" w:customStyle="1" w:styleId="destinatario">
    <w:name w:val="destinatario"/>
    <w:basedOn w:val="Normale"/>
    <w:rsid w:val="00542B5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NormaleWeb">
    <w:name w:val="Normal (Web)"/>
    <w:basedOn w:val="Normale"/>
    <w:uiPriority w:val="99"/>
    <w:unhideWhenUsed/>
    <w:rsid w:val="001A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A46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work/onlineservices/pador/index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%3Aprogettazione.pa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Utente</cp:lastModifiedBy>
  <cp:revision>23</cp:revision>
  <cp:lastPrinted>2020-01-15T16:16:00Z</cp:lastPrinted>
  <dcterms:created xsi:type="dcterms:W3CDTF">2019-03-08T15:44:00Z</dcterms:created>
  <dcterms:modified xsi:type="dcterms:W3CDTF">2020-10-18T08:51:00Z</dcterms:modified>
</cp:coreProperties>
</file>